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GOVERNO DO ESTADO DO PARÁ</w:t>
      </w:r>
    </w:p>
    <w:p w:rsidR="00000000" w:rsidDel="00000000" w:rsidP="00000000" w:rsidRDefault="00000000" w:rsidRPr="00000000" w14:paraId="00000002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CONTROLADORIA-GERAL DO ESTADO</w:t>
      </w:r>
    </w:p>
    <w:p w:rsidR="00000000" w:rsidDel="00000000" w:rsidP="00000000" w:rsidRDefault="00000000" w:rsidRPr="00000000" w14:paraId="00000003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MODELO DE DECLARAÇÃO DE APETITE A RISCOS</w:t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bookmarkStart w:colFirst="0" w:colLast="0" w:name="_heading=h.jed9mxlr7fic" w:id="0"/>
      <w:bookmarkEnd w:id="0"/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Para Órgãos da Administração Pública Estadual.</w:t>
      </w:r>
    </w:p>
    <w:p w:rsidR="00000000" w:rsidDel="00000000" w:rsidP="00000000" w:rsidRDefault="00000000" w:rsidRPr="00000000" w14:paraId="00000010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jorrg9etlcnz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66ry3ctf8n4a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10coheovvi7o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r8tqk2i4yeea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q930zskhz5aa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slsce4v73wao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i8qlyqhbw5zk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Belém - 2025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ÓRGÃO/ENTIDADE: [NOME COMPLETO DO ÓRGÃO/ENTIDADE] – [SIGLA]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HISTÓRICO DE VERSÕES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15"/>
        <w:gridCol w:w="1800"/>
        <w:gridCol w:w="3660"/>
        <w:gridCol w:w="2175"/>
        <w:tblGridChange w:id="0">
          <w:tblGrid>
            <w:gridCol w:w="1215"/>
            <w:gridCol w:w="1800"/>
            <w:gridCol w:w="3660"/>
            <w:gridCol w:w="21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VERSÃO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DESCRIÇÃO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RESPONSÁVEL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1"/>
        <w:rPr/>
      </w:pPr>
      <w:bookmarkStart w:colFirst="0" w:colLast="0" w:name="_heading=h.1t4ezcg9zfb9" w:id="8"/>
      <w:bookmarkEnd w:id="8"/>
      <w:r w:rsidDel="00000000" w:rsidR="00000000" w:rsidRPr="00000000">
        <w:rPr>
          <w:rtl w:val="0"/>
        </w:rPr>
        <w:t xml:space="preserve">1. INTRODUÇÃO</w:t>
      </w:r>
    </w:p>
    <w:p w:rsidR="00000000" w:rsidDel="00000000" w:rsidP="00000000" w:rsidRDefault="00000000" w:rsidRPr="00000000" w14:paraId="0000005C">
      <w:pPr>
        <w:spacing w:before="12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before="120" w:line="240" w:lineRule="auto"/>
        <w:jc w:val="both"/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  <w:rtl w:val="0"/>
        </w:rPr>
        <w:t xml:space="preserve">A Gestão de Riscos na Administração Pública do Poder Executivo do Estado do Pará é um componente estratégico indispensável para garantir a eficácia e a transparência nas operações governamentais. Em um cenário onde as entidades públicas enfrentam uma gama diversificada de desafios, que vão desde questões orçamentárias até demandas sociais complexas, a identificação, avaliação e mitigação de riscos tornam-se fundamentais para o alcance dos objetivos institucionais. </w:t>
      </w:r>
    </w:p>
    <w:p w:rsidR="00000000" w:rsidDel="00000000" w:rsidP="00000000" w:rsidRDefault="00000000" w:rsidRPr="00000000" w14:paraId="0000005E">
      <w:pPr>
        <w:spacing w:before="120" w:line="240" w:lineRule="auto"/>
        <w:jc w:val="both"/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  <w:rtl w:val="0"/>
        </w:rPr>
        <w:t xml:space="preserve">A natureza dinâmica e interconectada do ambiente governamental exige uma abordagem estratégica para antecipar e gerenciar os riscos que podem afetar a prestação de serviços públicos, a estabilidade financeira e a confiança dos cidadãos. Esse contexto ressalta a importância de um sistema robusto de Gestão de Riscos no setor público, não apenas como uma medida preventiva, mas também como uma ferramenta proativa para impulsionar a eficiência, a responsabilidade e a resiliência em face das incertezas inerentes à administração pública.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  <w:rtl w:val="0"/>
        </w:rPr>
        <w:t xml:space="preserve">Em consonância com 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d0d0d"/>
          <w:sz w:val="24"/>
          <w:szCs w:val="24"/>
          <w:highlight w:val="white"/>
          <w:rtl w:val="0"/>
        </w:rPr>
        <w:t xml:space="preserve">Decreto Estadual nº 5.257, de 12 de março de 2026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  <w:rtl w:val="0"/>
        </w:rPr>
        <w:t xml:space="preserve">, que regulamenta o Sistema de Controle Interno (SCI), os órgãos executores devem instituir, manter e aprimorar seus sistemas de gestão de riscos de forma sistemática e estruturada. O referido normativo adota como referencial técnico obrigatório a norma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d0d0d"/>
          <w:sz w:val="24"/>
          <w:szCs w:val="24"/>
          <w:highlight w:val="white"/>
          <w:rtl w:val="0"/>
        </w:rPr>
        <w:t xml:space="preserve">ABNT NBR ISO 31000:2018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  <w:rtl w:val="0"/>
        </w:rPr>
        <w:t xml:space="preserve"> (Art. 29), determinando que o gerenciamento de riscos deve estar diretamente alinhado aos objetivos estratégicos e ao interesse público.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  <w:rtl w:val="0"/>
        </w:rPr>
        <w:t xml:space="preserve">Considerando que o Art. 7º, inciso I, do Decreto nº 5.257/2026 faculta ao órgão a definição de seu próprio apetite a risco, e tendo em vista as especificidades institucionais de sua missão de 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yellow"/>
          <w:rtl w:val="0"/>
        </w:rPr>
        <w:t xml:space="preserve">[inserir competência core do órgão, ex: saúde, segurança, educação]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  <w:rtl w:val="0"/>
        </w:rPr>
        <w:t xml:space="preserve">, este documento formaliza a Declaração de Apetite a Riscos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yellow"/>
          <w:rtl w:val="0"/>
        </w:rPr>
        <w:t xml:space="preserve"> do(a) [Nome do Órgão/Entidade]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61">
      <w:pPr>
        <w:spacing w:before="120" w:line="24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d0d0d"/>
          <w:sz w:val="24"/>
          <w:szCs w:val="24"/>
          <w:highlight w:val="r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before="120"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d0d0d"/>
          <w:sz w:val="24"/>
          <w:szCs w:val="24"/>
          <w:highlight w:val="yellow"/>
          <w:rtl w:val="0"/>
        </w:rPr>
        <w:t xml:space="preserve">Todavia, tendo em vista que os órgãos e entidades podem estabelecer apetite a riscos diferente do proposto na metodologia, bem como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ff0000"/>
          <w:sz w:val="24"/>
          <w:szCs w:val="24"/>
          <w:highlight w:val="yellow"/>
          <w:rtl w:val="0"/>
        </w:rPr>
        <w:t xml:space="preserve">[incluir demais motivações apresentadas pelo órgão ou entidade]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d0d0d"/>
          <w:sz w:val="24"/>
          <w:szCs w:val="24"/>
          <w:highlight w:val="yellow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ed0000"/>
          <w:sz w:val="24"/>
          <w:szCs w:val="24"/>
          <w:highlight w:val="yellow"/>
          <w:rtl w:val="0"/>
        </w:rPr>
        <w:t xml:space="preserve">este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ff0000"/>
          <w:sz w:val="24"/>
          <w:szCs w:val="24"/>
          <w:highlight w:val="yellow"/>
          <w:rtl w:val="0"/>
        </w:rPr>
        <w:t xml:space="preserve">(a) [órgão ou entidade]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d0d0d"/>
          <w:sz w:val="24"/>
          <w:szCs w:val="24"/>
          <w:highlight w:val="yellow"/>
          <w:rtl w:val="0"/>
        </w:rPr>
        <w:t xml:space="preserve">declara apetite a riscos nos termos indicados no tópico a seguir.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1"/>
        <w:rPr/>
      </w:pPr>
      <w:bookmarkStart w:colFirst="0" w:colLast="0" w:name="_heading=h.y047pcejx85c" w:id="9"/>
      <w:bookmarkEnd w:id="9"/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rtl w:val="0"/>
        </w:rPr>
        <w:t xml:space="preserve">. APETITE A RISCOS DO(A) [NOME DO ÓRGÃO/ENTIDADE]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  <w:rtl w:val="0"/>
        </w:rPr>
        <w:t xml:space="preserve">O(A)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d0d0d"/>
          <w:sz w:val="24"/>
          <w:szCs w:val="24"/>
          <w:highlight w:val="yellow"/>
          <w:rtl w:val="0"/>
        </w:rPr>
        <w:t xml:space="preserve">[Nome do Órgão/Entidade]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  <w:rtl w:val="0"/>
        </w:rPr>
        <w:t xml:space="preserve">, considerando a natureza tipicamente prudente da Administração Pública e a necessidade de assegurar a regularidade de suas entregas, adota uma postura de gestão de riscos conservadora.  O apetite a riscos global da instituição é classificado como BAIXO, refletindo a priorização da segurança jurídica, da continuidade ininterrupta dos serviços finalísticos e da proteção do patrimônio público.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  <w:rtl w:val="0"/>
        </w:rPr>
        <w:t xml:space="preserve">A assunção de riscos fundamenta-se na busca por soluções consolidadas e métodos testados. Processos de inovação ou mudanças estruturais somente serão tolerados se precedidos de estudos técnicos de viabilidade, matrizes de mitigação validadas e aprovação da alta administração.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color w:val="0d0d0d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yellow"/>
          <w:rtl w:val="0"/>
        </w:rPr>
        <w:t xml:space="preserve">OBSERVAÇÃO: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color w:val="0d0d0d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yellow"/>
          <w:rtl w:val="0"/>
        </w:rPr>
        <w:t xml:space="preserve">Fica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d0d0d"/>
          <w:sz w:val="24"/>
          <w:szCs w:val="24"/>
          <w:highlight w:val="yellow"/>
          <w:rtl w:val="0"/>
        </w:rPr>
        <w:t xml:space="preserve">sugerido 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yellow"/>
          <w:rtl w:val="0"/>
        </w:rPr>
        <w:t xml:space="preserve">que o perfil referencial padrão para os órgãos da Administração Pública Estadual é 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d0d0d"/>
          <w:sz w:val="24"/>
          <w:szCs w:val="24"/>
          <w:highlight w:val="yellow"/>
          <w:rtl w:val="0"/>
        </w:rPr>
        <w:t xml:space="preserve">apetite BAIXO (Conservador)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yellow"/>
          <w:rtl w:val="0"/>
        </w:rPr>
        <w:t xml:space="preserve">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yellow"/>
          <w:rtl w:val="0"/>
        </w:rPr>
        <w:t xml:space="preserve">Caso a Alta Administração do órgão ou entidade deliberar pela adoção de um nível de apetite a riscos SUPERIOR AO NÍVEL BAIXO, seja para o nível global da instituição ou para qualquer uma das macrocategorias isoladas (Estratégicos, Operacionais, Financeiros ou de Conformidade),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highlight w:val="yellow"/>
          <w:rtl w:val="0"/>
        </w:rPr>
        <w:t xml:space="preserve">será necessário a anexação de uma Justificativa Técnica, firmada pela alta administração da instituição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1"/>
        <w:rPr/>
      </w:pPr>
      <w:bookmarkStart w:colFirst="0" w:colLast="0" w:name="_heading=h.gtsjozkvrw2m" w:id="10"/>
      <w:bookmarkEnd w:id="10"/>
      <w:r w:rsidDel="00000000" w:rsidR="00000000" w:rsidRPr="00000000">
        <w:rPr>
          <w:rtl w:val="0"/>
        </w:rPr>
        <w:t xml:space="preserve">3. ESCALAS DE AVALIAÇÃO E MATRIZ DE RISCOS</w:t>
      </w:r>
    </w:p>
    <w:p w:rsidR="00000000" w:rsidDel="00000000" w:rsidP="00000000" w:rsidRDefault="00000000" w:rsidRPr="00000000" w14:paraId="00000080">
      <w:pPr>
        <w:pStyle w:val="Heading4"/>
        <w:keepNext w:val="0"/>
        <w:keepLines w:val="0"/>
        <w:spacing w:after="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heading=h.q33zvh1ef8kt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3.1 ESCALA DE PROBABILIDADE</w:t>
      </w:r>
    </w:p>
    <w:p w:rsidR="00000000" w:rsidDel="00000000" w:rsidP="00000000" w:rsidRDefault="00000000" w:rsidRPr="00000000" w14:paraId="00000081">
      <w:pPr>
        <w:rPr>
          <w:i w:val="1"/>
          <w:iCs w:val="1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5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70"/>
        <w:gridCol w:w="5985"/>
        <w:gridCol w:w="750"/>
        <w:tblGridChange w:id="0">
          <w:tblGrid>
            <w:gridCol w:w="1770"/>
            <w:gridCol w:w="5985"/>
            <w:gridCol w:w="750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Escala de Probabilidade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Probabilidade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Descrição da probabilidade de o evento ocorrer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Rara (Muito baixa)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Em situações excepcionais, o evento poderá até ocorrer, mas nada nas circunstâncias indica essa possibilidade.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Pouco Provável (Baixa)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 forma inesperada ou casual o evento poderá ocorrer, pois as circunstâncias pouco indicam essa</w:t>
            </w:r>
          </w:p>
          <w:p w:rsidR="00000000" w:rsidDel="00000000" w:rsidP="00000000" w:rsidRDefault="00000000" w:rsidRPr="00000000" w14:paraId="0000008D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possibilidade.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Possível (Média)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 alguma forma o evento poderá ocorrer, pois as circunstâncias indicam moderadamente essa possibilidade.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Provável (Alta)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 forma até esperada o evento poderá ocorrer, pois as circunstâncias indicam fortemente essa possibilidade.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Praticamente Certa </w:t>
            </w:r>
          </w:p>
          <w:p w:rsidR="00000000" w:rsidDel="00000000" w:rsidP="00000000" w:rsidRDefault="00000000" w:rsidRPr="00000000" w14:paraId="00000096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(Muito Alta)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 forma inequívoca o evento ocorrerá, as circunstâncias indicam claramente essa possibilidade.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</w:tr>
    </w:tbl>
    <w:p w:rsidR="00000000" w:rsidDel="00000000" w:rsidP="00000000" w:rsidRDefault="00000000" w:rsidRPr="00000000" w14:paraId="00000099">
      <w:pPr>
        <w:pStyle w:val="Heading4"/>
        <w:keepNext w:val="0"/>
        <w:keepLines w:val="0"/>
        <w:spacing w:after="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heading=h.37o86nmfi5v5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4"/>
        <w:keepNext w:val="0"/>
        <w:keepLines w:val="0"/>
        <w:spacing w:after="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heading=h.b7vtb6rbw0ta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3.2 ESCALA DE IMPACTO</w:t>
      </w:r>
    </w:p>
    <w:p w:rsidR="00000000" w:rsidDel="00000000" w:rsidP="00000000" w:rsidRDefault="00000000" w:rsidRPr="00000000" w14:paraId="0000009B">
      <w:pPr>
        <w:rPr>
          <w:i w:val="1"/>
          <w:iCs w:val="1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5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25"/>
        <w:gridCol w:w="6015"/>
        <w:gridCol w:w="795"/>
        <w:tblGridChange w:id="0">
          <w:tblGrid>
            <w:gridCol w:w="1725"/>
            <w:gridCol w:w="6015"/>
            <w:gridCol w:w="79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Escala de Impacto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Impacto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Descrição do impacto nos objetivos, caso o evento ocorra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Mínimo (Muito Baixo)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Mínimo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impacto nos objetivos (estratégicos, operacionais, de comunicação ou de conformidade).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Pequeno (Baixo)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Pequeno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impacto nos objetivos.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Moderado (Médio)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Moderado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impacto nos objetivos, porém recuperável.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Significativo (Alto)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Significativo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impacto nos objetivos, de difícil reversão.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Catastrófico</w:t>
            </w:r>
          </w:p>
          <w:p w:rsidR="00000000" w:rsidDel="00000000" w:rsidP="00000000" w:rsidRDefault="00000000" w:rsidRPr="00000000" w14:paraId="000000AF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(Muito alto)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Catastrófico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impacto nos objetivos, de forma irreversível, sem possibilidade de recuperação.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</w:tr>
    </w:tbl>
    <w:p w:rsidR="00000000" w:rsidDel="00000000" w:rsidP="00000000" w:rsidRDefault="00000000" w:rsidRPr="00000000" w14:paraId="000000B2">
      <w:pPr>
        <w:rPr>
          <w:i w:val="1"/>
          <w:i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3.3 MATRIZ DE RISCOS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50"/>
        <w:gridCol w:w="1155"/>
        <w:gridCol w:w="240"/>
        <w:gridCol w:w="1065"/>
        <w:gridCol w:w="1395"/>
        <w:gridCol w:w="945"/>
        <w:gridCol w:w="810"/>
        <w:gridCol w:w="810"/>
        <w:gridCol w:w="810"/>
        <w:gridCol w:w="810"/>
        <w:tblGridChange w:id="0">
          <w:tblGrid>
            <w:gridCol w:w="1050"/>
            <w:gridCol w:w="1155"/>
            <w:gridCol w:w="240"/>
            <w:gridCol w:w="1065"/>
            <w:gridCol w:w="1395"/>
            <w:gridCol w:w="945"/>
            <w:gridCol w:w="810"/>
            <w:gridCol w:w="810"/>
            <w:gridCol w:w="810"/>
            <w:gridCol w:w="810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Classificação de Risco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Matriz de Riscos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Probabilidade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Nota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Magnitude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Muito Baixa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Baixa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Média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Alta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Muito Alta 5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 a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Baixo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Impacto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Muito Alto 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0000" w:space="0" w:sz="36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99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 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 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 RE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 a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Médio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Alto 4</w:t>
            </w:r>
          </w:p>
        </w:tc>
        <w:tc>
          <w:tcPr>
            <w:tcBorders>
              <w:top w:color="ff0000" w:space="0" w:sz="36" w:val="single"/>
              <w:left w:color="000000" w:space="0" w:sz="0" w:val="nil"/>
              <w:bottom w:color="000000" w:space="0" w:sz="8" w:val="single"/>
              <w:right w:color="ff0000" w:space="0" w:sz="36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RB</w:t>
            </w:r>
          </w:p>
        </w:tc>
        <w:tc>
          <w:tcPr>
            <w:tcBorders>
              <w:top w:color="000000" w:space="0" w:sz="0" w:val="nil"/>
              <w:left w:color="ff0000" w:space="0" w:sz="36" w:val="single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99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 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99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 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 RE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 a 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d7d31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Médio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ff0000" w:space="0" w:sz="36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RB</w:t>
            </w:r>
          </w:p>
        </w:tc>
        <w:tc>
          <w:tcPr>
            <w:tcBorders>
              <w:top w:color="000000" w:space="0" w:sz="0" w:val="nil"/>
              <w:left w:color="ff0000" w:space="0" w:sz="36" w:val="single"/>
              <w:bottom w:color="ff0000" w:space="0" w:sz="36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 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99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 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99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 RA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 a 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Extremo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Baixo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RB</w:t>
            </w:r>
          </w:p>
        </w:tc>
        <w:tc>
          <w:tcPr>
            <w:tcBorders>
              <w:top w:color="ff0000" w:space="0" w:sz="36" w:val="single"/>
              <w:left w:color="000000" w:space="0" w:sz="0" w:val="nil"/>
              <w:bottom w:color="000000" w:space="0" w:sz="8" w:val="single"/>
              <w:right w:color="ff0000" w:space="0" w:sz="36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RB</w:t>
            </w:r>
          </w:p>
        </w:tc>
        <w:tc>
          <w:tcPr>
            <w:tcBorders>
              <w:top w:color="000000" w:space="0" w:sz="0" w:val="nil"/>
              <w:left w:color="ff0000" w:space="0" w:sz="36" w:val="single"/>
              <w:bottom w:color="ff0000" w:space="0" w:sz="36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0000" w:space="0" w:sz="36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RM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Muito Baixo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RB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RB</w:t>
            </w:r>
          </w:p>
        </w:tc>
        <w:tc>
          <w:tcPr>
            <w:tcBorders>
              <w:top w:color="ff0000" w:space="0" w:sz="36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RB</w:t>
            </w:r>
          </w:p>
        </w:tc>
        <w:tc>
          <w:tcPr>
            <w:tcBorders>
              <w:top w:color="ff0000" w:space="0" w:sz="36" w:val="single"/>
              <w:left w:color="000000" w:space="0" w:sz="0" w:val="nil"/>
              <w:bottom w:color="000000" w:space="0" w:sz="8" w:val="single"/>
              <w:right w:color="ff0000" w:space="0" w:sz="36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RB</w:t>
            </w:r>
          </w:p>
        </w:tc>
        <w:tc>
          <w:tcPr>
            <w:tcBorders>
              <w:top w:color="000000" w:space="0" w:sz="0" w:val="nil"/>
              <w:left w:color="ff0000" w:space="0" w:sz="36" w:val="single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RM</w:t>
            </w:r>
          </w:p>
        </w:tc>
      </w:tr>
    </w:tbl>
    <w:p w:rsidR="00000000" w:rsidDel="00000000" w:rsidP="00000000" w:rsidRDefault="00000000" w:rsidRPr="00000000" w14:paraId="000000FB">
      <w:pPr>
        <w:pStyle w:val="Heading4"/>
        <w:keepNext w:val="0"/>
        <w:keepLines w:val="0"/>
        <w:spacing w:after="40" w:before="240" w:lineRule="auto"/>
        <w:jc w:val="both"/>
        <w:rPr>
          <w:rFonts w:ascii="Times New Roman" w:cs="Times New Roman" w:eastAsia="Times New Roman" w:hAnsi="Times New Roman"/>
          <w:i w:val="1"/>
          <w:iCs w:val="1"/>
          <w:color w:val="000000"/>
          <w:highlight w:val="yellow"/>
        </w:rPr>
      </w:pPr>
      <w:bookmarkStart w:colFirst="0" w:colLast="0" w:name="_heading=h.5anrwdl8wxwa" w:id="14"/>
      <w:bookmarkEnd w:id="14"/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highlight w:val="yellow"/>
          <w:rtl w:val="0"/>
        </w:rPr>
        <w:t xml:space="preserve">Exemplo: Apetite a riscos nível baixo, linha em vermelho na matriz de riscos.</w:t>
      </w:r>
    </w:p>
    <w:p w:rsidR="00000000" w:rsidDel="00000000" w:rsidP="00000000" w:rsidRDefault="00000000" w:rsidRPr="00000000" w14:paraId="000000FC">
      <w:pPr>
        <w:pStyle w:val="Heading4"/>
        <w:keepNext w:val="0"/>
        <w:keepLines w:val="0"/>
        <w:spacing w:after="40" w:before="240" w:lineRule="auto"/>
        <w:jc w:val="both"/>
        <w:rPr>
          <w:rFonts w:ascii="Times New Roman" w:cs="Times New Roman" w:eastAsia="Times New Roman" w:hAnsi="Times New Roman"/>
          <w:i w:val="1"/>
          <w:iCs w:val="1"/>
          <w:color w:val="000000"/>
          <w:highlight w:val="cyan"/>
        </w:rPr>
      </w:pPr>
      <w:bookmarkStart w:colFirst="0" w:colLast="0" w:name="_heading=h.h1u1llvbfglg" w:id="15"/>
      <w:bookmarkEnd w:id="1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3.4 CRITÉRIOS DE TOLERÂNCIA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numPr>
          <w:ilvl w:val="0"/>
          <w:numId w:val="1"/>
        </w:numPr>
        <w:spacing w:after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RISCO BAIXO (0-4)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Aceitável - Monitoramento rotineiro</w:t>
      </w:r>
    </w:p>
    <w:p w:rsidR="00000000" w:rsidDel="00000000" w:rsidP="00000000" w:rsidRDefault="00000000" w:rsidRPr="00000000" w14:paraId="000000FE">
      <w:pPr>
        <w:numPr>
          <w:ilvl w:val="0"/>
          <w:numId w:val="1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RISCO MÉDIO (5-10)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Requer atenção - Medidas de mitigação específicas</w:t>
      </w:r>
    </w:p>
    <w:p w:rsidR="00000000" w:rsidDel="00000000" w:rsidP="00000000" w:rsidRDefault="00000000" w:rsidRPr="00000000" w14:paraId="000000FF">
      <w:pPr>
        <w:numPr>
          <w:ilvl w:val="0"/>
          <w:numId w:val="1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RISCO ALTO (11-16)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Requer ação imediata - Plano de tratamento obrigatório</w:t>
      </w:r>
    </w:p>
    <w:p w:rsidR="00000000" w:rsidDel="00000000" w:rsidP="00000000" w:rsidRDefault="00000000" w:rsidRPr="00000000" w14:paraId="00000100">
      <w:pPr>
        <w:numPr>
          <w:ilvl w:val="0"/>
          <w:numId w:val="1"/>
        </w:numPr>
        <w:spacing w:after="24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RISCO EXTREMO (17-25)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Inaceitável - Intervenção de emergência da alta gestão</w:t>
      </w:r>
    </w:p>
    <w:p w:rsidR="00000000" w:rsidDel="00000000" w:rsidP="00000000" w:rsidRDefault="00000000" w:rsidRPr="00000000" w14:paraId="00000101">
      <w:pPr>
        <w:pStyle w:val="Heading1"/>
        <w:rPr/>
      </w:pPr>
      <w:bookmarkStart w:colFirst="0" w:colLast="0" w:name="_heading=h.vtqx46y5vbw9" w:id="16"/>
      <w:bookmarkEnd w:id="16"/>
      <w:r w:rsidDel="00000000" w:rsidR="00000000" w:rsidRPr="00000000">
        <w:rPr>
          <w:rtl w:val="0"/>
        </w:rPr>
        <w:t xml:space="preserve">4. CONCLUSÃO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before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Conforme o apetite a riscos declarado,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o(a) [Nome do Órgão/Entidade]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possui capacidade para aceitar riscos de níveis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 [indicar níveis, ex: "Baixo, Muito Baixo e Moderado"]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desde que não representem consequências que prejudiquem o alcance dos objetivos organizacionais.</w:t>
      </w:r>
    </w:p>
    <w:p w:rsidR="00000000" w:rsidDel="00000000" w:rsidP="00000000" w:rsidRDefault="00000000" w:rsidRPr="00000000" w14:paraId="00000104">
      <w:pPr>
        <w:spacing w:before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que se refere aos níveis avaliados como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[indicar o nível] ou [indicar o nível]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não há aceitação e tais riscos devem necessariamente ser reduzidos ou totalmente eliminados, a não ser que o custo para isso seja desproporcional aos benefícios obtidos, ocasião na qual o gestor responsável deverá externar o problema [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à área estratégica do(a) órgão/entidade]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fim de, em conjunto, deliberarem a respeito da solução mais adequada aos propósitos da organização.</w:t>
      </w:r>
    </w:p>
    <w:p w:rsidR="00000000" w:rsidDel="00000000" w:rsidP="00000000" w:rsidRDefault="00000000" w:rsidRPr="00000000" w14:paraId="00000105">
      <w:pPr>
        <w:spacing w:before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Belém/PA,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[dia] de [mês] de [ano]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107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</w:t>
      </w:r>
    </w:p>
    <w:p w:rsidR="00000000" w:rsidDel="00000000" w:rsidP="00000000" w:rsidRDefault="00000000" w:rsidRPr="00000000" w14:paraId="00000109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[nome do(a) secretário(a)]</w:t>
      </w:r>
    </w:p>
    <w:p w:rsidR="00000000" w:rsidDel="00000000" w:rsidP="00000000" w:rsidRDefault="00000000" w:rsidRPr="00000000" w14:paraId="0000010A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[nome da secretaria]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4" w:w="11909" w:orient="portrait"/>
      <w:pgMar w:bottom="1133.8582677165355" w:top="1700.7874015748032" w:left="1700.7874015748032" w:right="1133.8582677165355" w:header="0" w:footer="3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0">
    <w:pPr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1">
    <w:pPr>
      <w:jc w:val="right"/>
      <w:rPr>
        <w:i w:val="1"/>
        <w:iCs w:val="1"/>
        <w:sz w:val="20"/>
        <w:szCs w:val="20"/>
      </w:rPr>
    </w:pPr>
    <w:r w:rsidDel="00000000" w:rsidR="00000000" w:rsidRPr="00000000">
      <w:rPr>
        <w:i w:val="1"/>
        <w:iCs w:val="1"/>
        <w:sz w:val="20"/>
        <w:szCs w:val="20"/>
        <w:rtl w:val="0"/>
      </w:rPr>
      <w:t xml:space="preserve">Declaração de apetite a riscos - Controladoria-Geral do Estado do Pará - Modelo 2026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B">
    <w:pPr>
      <w:spacing w:line="360" w:lineRule="auto"/>
      <w:jc w:val="center"/>
      <w:rPr/>
    </w:pPr>
    <w:r w:rsidDel="00000000" w:rsidR="00000000" w:rsidRPr="00000000">
      <w:rPr/>
      <w:pict>
        <v:shape id="WordPictureWatermark1" style="position:absolute;width:226.77165354330708pt;height:279.5353543307087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C">
    <w:pPr>
      <w:spacing w:line="36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D">
    <w:pPr>
      <w:spacing w:line="36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E">
    <w:pPr>
      <w:spacing w:line="36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pict>
        <v:shape id="WordPictureWatermark2" style="position:absolute;width:226.77165354330708pt;height:279.5353543307087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3.png"/>
        </v:shape>
      </w:pic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114300" distT="114300" distL="114300" distR="114300">
          <wp:extent cx="1063462" cy="1310902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63462" cy="131090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1" w:sz="8" w:val="single"/>
        <w:left w:color="000000" w:space="1" w:sz="8" w:val="single"/>
        <w:bottom w:color="000000" w:space="1" w:sz="8" w:val="single"/>
        <w:right w:color="000000" w:space="1" w:sz="8" w:val="single"/>
        <w:between w:color="000000" w:space="1" w:sz="8" w:val="single"/>
      </w:pBdr>
      <w:shd w:fill="cfe2f3" w:val="clear"/>
    </w:pPr>
    <w:rPr>
      <w:rFonts w:ascii="Times New Roman" w:cs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top w:color="000000" w:space="1" w:sz="8" w:val="single"/>
        <w:left w:color="000000" w:space="1" w:sz="8" w:val="single"/>
        <w:bottom w:color="000000" w:space="1" w:sz="8" w:val="single"/>
        <w:right w:color="000000" w:space="1" w:sz="8" w:val="single"/>
        <w:between w:color="000000" w:space="1" w:sz="8" w:val="single"/>
      </w:pBdr>
      <w:shd w:fill="cfe2f3" w:val="clear"/>
    </w:pPr>
    <w:rPr>
      <w:rFonts w:ascii="Times New Roman" w:cs="Times New Roman" w:eastAsia="Times New Roman" w:hAnsi="Times New Roman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fWn12hatRAm5zmJ0SCHamRzLdQ==">CgMxLjAyDmguamVkOW14bHI3ZmljMg5oLmpvcnJnOWV0bGNuejIOaC42NnJ5M2N0ZjhuNGEyDmguMTBjb2hlb3Z2aTdvMg5oLnI4dHFrMmk0eWVlYTIOaC5xOTMwenNraHo1YWEyDmguc2xzY2U0djczd2FvMg5oLmk4cWx5cWhidzV6azIOaC4xdDRlemNnOXpmYjkyDmgueTA0N3BjZWp4ODVjMg5oLmd0c2pvemt2cncybTIOaC5xMzN6dmgxZWY4a3QyDmguMzdvODZubWZpNXY1Mg5oLmI3dnRiNnJidzB0YTIOaC41YW5yd2RsOHd4d2EyDmguaDF1MWxsdmJmZ2xnMg5oLnZ0cXg0Nnk1dmJ3OTgAciExSndmMWthWUQ5SkRDNmVzR0FPU3MtRUhrX1RGaFpxb0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